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hint="default" w:ascii="’宋体’" w:eastAsia="’宋体’" w:cs="宋体"/>
          <w:b/>
          <w:bCs/>
          <w:kern w:val="0"/>
          <w:lang w:val="en-US" w:eastAsia="zh-CN"/>
        </w:rPr>
      </w:pPr>
      <w:r>
        <w:rPr>
          <w:rFonts w:hint="eastAsia" w:ascii="’宋体’" w:eastAsia="’宋体’" w:cs="宋体"/>
          <w:b/>
          <w:bCs/>
          <w:kern w:val="0"/>
          <w:lang w:val="en-US" w:eastAsia="zh-CN"/>
        </w:rPr>
        <w:t>附件1:</w:t>
      </w:r>
    </w:p>
    <w:tbl>
      <w:tblPr>
        <w:tblStyle w:val="3"/>
        <w:tblW w:w="8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3338"/>
        <w:gridCol w:w="952"/>
        <w:gridCol w:w="88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长沙电力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职业技术学院2024届毕业生人数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3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29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电网技术系</w:t>
            </w:r>
          </w:p>
        </w:tc>
        <w:tc>
          <w:tcPr>
            <w:tcW w:w="33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发电厂及电力系统 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29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29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高输配电工程技术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(供电服务方向)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29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供电服务系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4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供用电技术（定向培养）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2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能源技术系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分布式发电与智能微电网技术(风电方向)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Chars="200" w:right="0" w:rightChars="0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1"/>
          <w:szCs w:val="21"/>
          <w:shd w:val="clear" w:fill="FFFFFF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宋体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9521B"/>
    <w:rsid w:val="2EED56C6"/>
    <w:rsid w:val="6269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严伟-正文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"/>
      <w:sz w:val="28"/>
      <w:szCs w:val="28"/>
    </w:rPr>
  </w:style>
  <w:style w:type="paragraph" w:customStyle="1" w:styleId="6">
    <w:name w:val="正  文"/>
    <w:basedOn w:val="1"/>
    <w:next w:val="1"/>
    <w:qFormat/>
    <w:uiPriority w:val="0"/>
    <w:pPr>
      <w:spacing w:line="360" w:lineRule="auto"/>
      <w:ind w:firstLine="560" w:firstLineChars="200"/>
    </w:pPr>
    <w:rPr>
      <w:rFonts w:ascii="宋体" w:hAnsi="宋体" w:eastAsia="等线" w:cs="仿宋_GB231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2024-06-11T08:17:00Z</dcterms:created>
  <dc:creator>周慧娟</dc:creator>
  <cp:lastModifiedBy>周慧娟</cp:lastModifiedBy>
  <dcterms:modified xsi:type="dcterms:W3CDTF">2024-06-11T08:18:20Z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430FAA29BFA049FA89BABF453AE2F9D3</vt:lpwstr>
  </property>
</Properties>
</file>