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44"/>
        </w:rPr>
      </w:pPr>
      <w:r>
        <w:rPr>
          <w:rFonts w:hint="default" w:ascii="黑体" w:hAnsi="黑体" w:eastAsia="黑体"/>
          <w:b/>
          <w:sz w:val="44"/>
          <w:szCs w:val="44"/>
          <w:lang w:val="en-US"/>
        </w:rPr>
        <w:drawing>
          <wp:anchor distT="0" distB="0" distL="114300" distR="114300" simplePos="0" relativeHeight="251659264" behindDoc="0" locked="0" layoutInCell="1" allowOverlap="1">
            <wp:simplePos x="0" y="0"/>
            <wp:positionH relativeFrom="column">
              <wp:posOffset>-365125</wp:posOffset>
            </wp:positionH>
            <wp:positionV relativeFrom="paragraph">
              <wp:posOffset>33020</wp:posOffset>
            </wp:positionV>
            <wp:extent cx="839470" cy="724535"/>
            <wp:effectExtent l="19050" t="0" r="0" b="0"/>
            <wp:wrapNone/>
            <wp:docPr id="3" name="图片 3" descr="凯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凯迪logo"/>
                    <pic:cNvPicPr>
                      <a:picLocks noChangeAspect="1" noChangeArrowheads="1"/>
                    </pic:cNvPicPr>
                  </pic:nvPicPr>
                  <pic:blipFill>
                    <a:blip r:embed="rId4" cstate="print"/>
                    <a:srcRect/>
                    <a:stretch>
                      <a:fillRect/>
                    </a:stretch>
                  </pic:blipFill>
                  <pic:spPr>
                    <a:xfrm>
                      <a:off x="0" y="0"/>
                      <a:ext cx="839594" cy="724829"/>
                    </a:xfrm>
                    <a:prstGeom prst="rect">
                      <a:avLst/>
                    </a:prstGeom>
                    <a:noFill/>
                    <a:ln w="9525">
                      <a:noFill/>
                      <a:miter lim="800000"/>
                      <a:headEnd/>
                      <a:tailEnd/>
                    </a:ln>
                  </pic:spPr>
                </pic:pic>
              </a:graphicData>
            </a:graphic>
          </wp:anchor>
        </w:drawing>
      </w:r>
      <w:r>
        <w:rPr>
          <w:rFonts w:hint="eastAsia" w:ascii="黑体" w:hAnsi="黑体" w:eastAsia="黑体"/>
          <w:b/>
          <w:sz w:val="44"/>
          <w:szCs w:val="44"/>
          <w:lang w:val="en-US" w:eastAsia="zh-CN"/>
        </w:rPr>
        <w:t xml:space="preserve"> 从江凯迪绿色能源开发有限公司</w:t>
      </w:r>
    </w:p>
    <w:p>
      <w:pPr>
        <w:spacing w:line="360" w:lineRule="auto"/>
        <w:rPr>
          <w:rFonts w:ascii="黑体" w:hAnsi="黑体" w:eastAsia="黑体"/>
          <w:b/>
          <w:sz w:val="44"/>
          <w:szCs w:val="44"/>
        </w:rPr>
      </w:pPr>
      <w:r>
        <w:rPr>
          <w:rFonts w:hint="eastAsia" w:ascii="黑体" w:hAnsi="黑体" w:eastAsia="黑体"/>
          <w:b/>
          <w:sz w:val="44"/>
          <w:szCs w:val="44"/>
        </w:rPr>
        <w:t xml:space="preserve">          20</w:t>
      </w:r>
      <w:r>
        <w:rPr>
          <w:rFonts w:ascii="黑体" w:hAnsi="黑体" w:eastAsia="黑体"/>
          <w:b/>
          <w:sz w:val="44"/>
          <w:szCs w:val="44"/>
        </w:rPr>
        <w:t>2</w:t>
      </w:r>
      <w:r>
        <w:rPr>
          <w:rFonts w:hint="eastAsia" w:ascii="黑体" w:hAnsi="黑体" w:eastAsia="黑体"/>
          <w:b/>
          <w:sz w:val="44"/>
          <w:szCs w:val="44"/>
          <w:lang w:val="en-US" w:eastAsia="zh-CN"/>
        </w:rPr>
        <w:t>4</w:t>
      </w:r>
      <w:r>
        <w:rPr>
          <w:rFonts w:hint="eastAsia" w:ascii="黑体" w:hAnsi="黑体" w:eastAsia="黑体"/>
          <w:b/>
          <w:sz w:val="44"/>
          <w:szCs w:val="44"/>
        </w:rPr>
        <w:t>年校园招聘简章</w:t>
      </w:r>
    </w:p>
    <w:p>
      <w:pPr>
        <w:spacing w:line="360" w:lineRule="auto"/>
        <w:rPr>
          <w:rFonts w:ascii="黑体" w:hAnsi="黑体" w:eastAsia="黑体"/>
          <w:b/>
          <w:sz w:val="44"/>
          <w:szCs w:val="44"/>
        </w:rPr>
      </w:pPr>
    </w:p>
    <w:p>
      <w:pPr>
        <w:widowControl/>
        <w:spacing w:line="360" w:lineRule="auto"/>
        <w:ind w:firstLine="472" w:firstLineChars="196"/>
        <w:jc w:val="left"/>
        <w:rPr>
          <w:rFonts w:asciiTheme="minorEastAsia" w:hAnsiTheme="minorEastAsia"/>
          <w:b/>
          <w:sz w:val="24"/>
          <w:szCs w:val="24"/>
        </w:rPr>
      </w:pPr>
      <w:r>
        <w:rPr>
          <w:rFonts w:hint="eastAsia" w:asciiTheme="minorEastAsia" w:hAnsiTheme="minorEastAsia"/>
          <w:b/>
          <w:sz w:val="24"/>
          <w:szCs w:val="24"/>
        </w:rPr>
        <w:t>一、公司概况</w:t>
      </w:r>
    </w:p>
    <w:p>
      <w:pPr>
        <w:widowControl/>
        <w:spacing w:line="360" w:lineRule="auto"/>
        <w:ind w:firstLine="480" w:firstLineChars="200"/>
        <w:jc w:val="left"/>
        <w:rPr>
          <w:rFonts w:asciiTheme="minorEastAsia" w:hAnsiTheme="minorEastAsia"/>
          <w:sz w:val="24"/>
          <w:szCs w:val="24"/>
        </w:rPr>
      </w:pPr>
      <w:r>
        <w:rPr>
          <w:rFonts w:hint="eastAsia" w:ascii="宋体" w:hAnsi="宋体"/>
          <w:bCs/>
          <w:sz w:val="24"/>
          <w:szCs w:val="24"/>
          <w:lang w:val="en-US" w:eastAsia="zh-CN"/>
        </w:rPr>
        <w:t>从江凯迪绿色能源开发有限公司座落于贵州省从江县，系武汉凯迪生态环境科技股份有限公司的全资子公司</w:t>
      </w:r>
      <w:r>
        <w:rPr>
          <w:rFonts w:hint="eastAsia" w:asciiTheme="minorEastAsia" w:hAnsiTheme="minorEastAsia"/>
          <w:sz w:val="24"/>
          <w:szCs w:val="24"/>
        </w:rPr>
        <w:t>凯迪生态环境科技股份有限公司（</w:t>
      </w:r>
      <w:r>
        <w:rPr>
          <w:rFonts w:asciiTheme="minorEastAsia" w:hAnsiTheme="minorEastAsia"/>
          <w:sz w:val="24"/>
          <w:szCs w:val="24"/>
        </w:rPr>
        <w:t>2015年9月</w:t>
      </w:r>
      <w:r>
        <w:rPr>
          <w:rFonts w:hint="eastAsia" w:asciiTheme="minorEastAsia" w:hAnsiTheme="minorEastAsia"/>
          <w:sz w:val="24"/>
          <w:szCs w:val="24"/>
        </w:rPr>
        <w:t>由“</w:t>
      </w:r>
      <w:r>
        <w:rPr>
          <w:rFonts w:asciiTheme="minorEastAsia" w:hAnsiTheme="minorEastAsia"/>
          <w:sz w:val="24"/>
          <w:szCs w:val="24"/>
        </w:rPr>
        <w:t>武汉凯迪电力股份有限公司</w:t>
      </w:r>
      <w:r>
        <w:rPr>
          <w:rFonts w:hint="eastAsia" w:asciiTheme="minorEastAsia" w:hAnsiTheme="minorEastAsia"/>
          <w:sz w:val="24"/>
          <w:szCs w:val="24"/>
        </w:rPr>
        <w:t>”</w:t>
      </w:r>
      <w:r>
        <w:rPr>
          <w:rFonts w:asciiTheme="minorEastAsia" w:hAnsiTheme="minorEastAsia"/>
          <w:sz w:val="24"/>
          <w:szCs w:val="24"/>
        </w:rPr>
        <w:t>更名为</w:t>
      </w:r>
      <w:r>
        <w:rPr>
          <w:rFonts w:hint="eastAsia" w:asciiTheme="minorEastAsia" w:hAnsiTheme="minorEastAsia"/>
          <w:sz w:val="24"/>
          <w:szCs w:val="24"/>
        </w:rPr>
        <w:t>“</w:t>
      </w:r>
      <w:r>
        <w:rPr>
          <w:rFonts w:asciiTheme="minorEastAsia" w:hAnsiTheme="minorEastAsia"/>
          <w:sz w:val="24"/>
          <w:szCs w:val="24"/>
        </w:rPr>
        <w:t>凯迪生态环境科技股份有限公司</w:t>
      </w:r>
      <w:r>
        <w:rPr>
          <w:rFonts w:hint="eastAsia" w:asciiTheme="minorEastAsia" w:hAnsiTheme="minorEastAsia"/>
          <w:sz w:val="24"/>
          <w:szCs w:val="24"/>
        </w:rPr>
        <w:t>”）是</w:t>
      </w:r>
      <w:r>
        <w:rPr>
          <w:rFonts w:cs="Arial" w:asciiTheme="minorEastAsia" w:hAnsiTheme="minorEastAsia"/>
          <w:color w:val="000000"/>
          <w:kern w:val="0"/>
          <w:sz w:val="24"/>
          <w:szCs w:val="24"/>
        </w:rPr>
        <w:t>一家</w:t>
      </w:r>
      <w:r>
        <w:rPr>
          <w:rFonts w:hint="eastAsia" w:cs="Arial" w:asciiTheme="minorEastAsia" w:hAnsiTheme="minorEastAsia"/>
          <w:color w:val="000000"/>
          <w:kern w:val="0"/>
          <w:sz w:val="24"/>
          <w:szCs w:val="24"/>
        </w:rPr>
        <w:t>从事</w:t>
      </w:r>
      <w:r>
        <w:rPr>
          <w:rFonts w:cs="Arial" w:asciiTheme="minorEastAsia" w:hAnsiTheme="minorEastAsia"/>
          <w:color w:val="000000"/>
          <w:kern w:val="0"/>
          <w:sz w:val="24"/>
          <w:szCs w:val="24"/>
        </w:rPr>
        <w:t>新能源</w:t>
      </w:r>
      <w:r>
        <w:rPr>
          <w:rFonts w:hint="eastAsia" w:cs="Arial" w:asciiTheme="minorEastAsia" w:hAnsiTheme="minorEastAsia"/>
          <w:color w:val="000000"/>
          <w:kern w:val="0"/>
          <w:sz w:val="24"/>
          <w:szCs w:val="24"/>
        </w:rPr>
        <w:t>的</w:t>
      </w:r>
      <w:r>
        <w:rPr>
          <w:rFonts w:cs="Arial" w:asciiTheme="minorEastAsia" w:hAnsiTheme="minorEastAsia"/>
          <w:color w:val="000000"/>
          <w:kern w:val="0"/>
          <w:sz w:val="24"/>
          <w:szCs w:val="24"/>
        </w:rPr>
        <w:t>高科技企业</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公司是国家级创新示范企业，拥有环境工程设计、咨询、营运和电力工程（火力发电厂）设计四种甲级资质。</w:t>
      </w:r>
      <w:r>
        <w:rPr>
          <w:rFonts w:hint="eastAsia" w:asciiTheme="minorEastAsia" w:hAnsiTheme="minorEastAsia"/>
          <w:sz w:val="24"/>
          <w:szCs w:val="24"/>
        </w:rPr>
        <w:t>公司目前是全国生物质电厂布局最广、项目建设点最多的企业，</w:t>
      </w:r>
      <w:bookmarkStart w:id="0" w:name="_GoBack"/>
      <w:bookmarkEnd w:id="0"/>
      <w:r>
        <w:rPr>
          <w:rFonts w:hint="eastAsia" w:asciiTheme="minorEastAsia" w:hAnsiTheme="minorEastAsia"/>
          <w:sz w:val="24"/>
          <w:szCs w:val="24"/>
        </w:rPr>
        <w:t>也是产业链最完整，拥有千万亩林地资源支撑的公司。</w:t>
      </w:r>
    </w:p>
    <w:p>
      <w:pPr>
        <w:widowControl/>
        <w:spacing w:line="360" w:lineRule="auto"/>
        <w:ind w:firstLine="472" w:firstLineChars="196"/>
        <w:jc w:val="left"/>
        <w:rPr>
          <w:rFonts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二、主营业务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公司目前主要以生物质发电业务为主，并涵盖能源林基地、生物质供热、风力发电等业务。</w:t>
      </w:r>
    </w:p>
    <w:p>
      <w:pPr>
        <w:tabs>
          <w:tab w:val="left" w:pos="2546"/>
        </w:tabs>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三、成员企业</w:t>
      </w:r>
      <w:r>
        <w:rPr>
          <w:rFonts w:asciiTheme="minorEastAsia" w:hAnsiTheme="minorEastAsia"/>
          <w:b/>
          <w:sz w:val="24"/>
          <w:szCs w:val="24"/>
        </w:rPr>
        <w:tab/>
      </w:r>
    </w:p>
    <w:p>
      <w:pPr>
        <w:tabs>
          <w:tab w:val="left" w:pos="2546"/>
        </w:tabs>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（一）凯迪生态下属企业</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 xml:space="preserve">1、发电类企业 </w:t>
      </w:r>
    </w:p>
    <w:p>
      <w:pPr>
        <w:spacing w:line="360" w:lineRule="auto"/>
        <w:ind w:firstLine="470" w:firstLineChars="196"/>
        <w:rPr>
          <w:rFonts w:hint="eastAsia" w:asciiTheme="minorEastAsia" w:hAnsiTheme="minorEastAsia"/>
          <w:bCs/>
          <w:sz w:val="24"/>
          <w:szCs w:val="24"/>
        </w:rPr>
      </w:pPr>
      <w:r>
        <w:rPr>
          <w:rFonts w:hint="eastAsia" w:asciiTheme="minorEastAsia" w:hAnsiTheme="minorEastAsia"/>
          <w:bCs/>
          <w:sz w:val="24"/>
          <w:szCs w:val="24"/>
        </w:rPr>
        <w:t>生物质发电项目公司：</w:t>
      </w:r>
      <w:r>
        <w:rPr>
          <w:rFonts w:hint="eastAsia" w:asciiTheme="minorEastAsia" w:hAnsiTheme="minorEastAsia"/>
          <w:bCs/>
          <w:sz w:val="24"/>
          <w:szCs w:val="24"/>
          <w:lang w:val="en-US" w:eastAsia="zh-CN"/>
        </w:rPr>
        <w:t>36</w:t>
      </w:r>
      <w:r>
        <w:rPr>
          <w:rFonts w:hint="eastAsia" w:asciiTheme="minorEastAsia" w:hAnsiTheme="minorEastAsia"/>
          <w:bCs/>
          <w:sz w:val="24"/>
          <w:szCs w:val="24"/>
        </w:rPr>
        <w:t>家已运营</w:t>
      </w:r>
    </w:p>
    <w:p>
      <w:pPr>
        <w:spacing w:line="360" w:lineRule="auto"/>
        <w:ind w:firstLine="470" w:firstLineChars="196"/>
        <w:rPr>
          <w:rFonts w:asciiTheme="minorEastAsia" w:hAnsiTheme="minorEastAsia"/>
          <w:sz w:val="24"/>
          <w:szCs w:val="24"/>
        </w:rPr>
      </w:pPr>
      <w:r>
        <w:rPr>
          <w:rFonts w:hint="eastAsia" w:asciiTheme="minorEastAsia" w:hAnsiTheme="minorEastAsia"/>
          <w:bCs/>
          <w:sz w:val="24"/>
          <w:szCs w:val="24"/>
        </w:rPr>
        <w:t>风电厂：</w:t>
      </w:r>
      <w:r>
        <w:rPr>
          <w:rFonts w:asciiTheme="minorEastAsia" w:hAnsiTheme="minorEastAsia"/>
          <w:bCs/>
          <w:sz w:val="24"/>
          <w:szCs w:val="24"/>
        </w:rPr>
        <w:t>3</w:t>
      </w:r>
      <w:r>
        <w:rPr>
          <w:rFonts w:hint="eastAsia" w:asciiTheme="minorEastAsia" w:hAnsiTheme="minorEastAsia"/>
          <w:bCs/>
          <w:sz w:val="24"/>
          <w:szCs w:val="24"/>
        </w:rPr>
        <w:t xml:space="preserve">家      </w:t>
      </w:r>
    </w:p>
    <w:p>
      <w:pPr>
        <w:spacing w:line="360" w:lineRule="auto"/>
        <w:ind w:firstLine="470" w:firstLineChars="196"/>
        <w:rPr>
          <w:rFonts w:asciiTheme="minorEastAsia" w:hAnsiTheme="minorEastAsia"/>
          <w:bCs/>
          <w:sz w:val="24"/>
          <w:szCs w:val="24"/>
        </w:rPr>
      </w:pPr>
      <w:r>
        <w:rPr>
          <w:rFonts w:asciiTheme="minorEastAsia" w:hAnsiTheme="minorEastAsia"/>
          <w:bCs/>
          <w:sz w:val="24"/>
          <w:szCs w:val="24"/>
        </w:rPr>
        <w:t>2</w:t>
      </w:r>
      <w:r>
        <w:rPr>
          <w:rFonts w:hint="eastAsia" w:asciiTheme="minorEastAsia" w:hAnsiTheme="minorEastAsia"/>
          <w:bCs/>
          <w:sz w:val="24"/>
          <w:szCs w:val="24"/>
        </w:rPr>
        <w:t>、林业公司  1家</w:t>
      </w:r>
    </w:p>
    <w:p>
      <w:pPr>
        <w:widowControl/>
        <w:spacing w:line="360" w:lineRule="auto"/>
        <w:ind w:firstLine="354" w:firstLineChars="147"/>
        <w:jc w:val="left"/>
        <w:rPr>
          <w:rFonts w:cs="Arial" w:asciiTheme="minorEastAsia" w:hAnsiTheme="minorEastAsia"/>
          <w:b/>
          <w:color w:val="000000"/>
          <w:kern w:val="0"/>
          <w:sz w:val="24"/>
          <w:szCs w:val="24"/>
        </w:rPr>
      </w:pPr>
      <w:r>
        <w:rPr>
          <w:rFonts w:hint="eastAsia" w:cs="Arial" w:asciiTheme="minorEastAsia" w:hAnsiTheme="minorEastAsia"/>
          <w:b/>
          <w:color w:val="000000"/>
          <w:kern w:val="0"/>
          <w:sz w:val="24"/>
          <w:szCs w:val="24"/>
        </w:rPr>
        <w:t>四、核心竞争力</w:t>
      </w:r>
    </w:p>
    <w:p>
      <w:pPr>
        <w:spacing w:line="360" w:lineRule="auto"/>
        <w:ind w:firstLine="420"/>
        <w:rPr>
          <w:rFonts w:asciiTheme="minorEastAsia" w:hAnsiTheme="minorEastAsia"/>
          <w:sz w:val="24"/>
          <w:szCs w:val="24"/>
        </w:rPr>
      </w:pPr>
      <w:r>
        <w:rPr>
          <w:rFonts w:hint="eastAsia" w:asciiTheme="minorEastAsia" w:hAnsiTheme="minorEastAsia"/>
          <w:sz w:val="24"/>
          <w:szCs w:val="24"/>
        </w:rPr>
        <w:t>1、产业先发优势：起步早，资源调查充分、选址勘察严格，项目布局在生物质燃料丰富的区域。</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2、燃料收购网络体系优势：率先提出了“度电外包模式直购”的新思路，保障了充足的燃料供应量及现金流，实现了燃料收购的网络化覆盖外，也确保了燃料收购成本最低化、效率最高化。</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3、丰富的林地资源为生物质能源产业提供强大的资源保障</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农业生物质资源（农作物秸杆、稻壳等废弃物）具有较明显的季节性特征，而结合充分发掘林业生物质资源，能够为生物质燃料资源提供更加充分的保障。</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4、技术优势</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公司生物质发电项目，大多采用的是高温超高压循环流化床发电技术，在使用同等燃料的情况下，输出的电能更多，度电燃料需求由1.7公斤下降至1.32公斤（热值2,300kcal/ kg），效率提升28.8%，达到国际领先水平，</w:t>
      </w:r>
      <w:r>
        <w:rPr>
          <w:rFonts w:asciiTheme="majorEastAsia" w:hAnsiTheme="majorEastAsia" w:eastAsiaTheme="majorEastAsia"/>
          <w:sz w:val="24"/>
          <w:szCs w:val="24"/>
        </w:rPr>
        <w:t>随着</w:t>
      </w:r>
      <w:r>
        <w:rPr>
          <w:rFonts w:hint="eastAsia" w:asciiTheme="majorEastAsia" w:hAnsiTheme="majorEastAsia" w:eastAsiaTheme="majorEastAsia"/>
          <w:sz w:val="24"/>
          <w:szCs w:val="24"/>
        </w:rPr>
        <w:t>BIGCC和热化学技术在生物电厂的应用，未来生物质电厂转化效率有望达到39%。燃料成本的盈亏平衡点将大大提升。</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5、产业链优势</w:t>
      </w:r>
    </w:p>
    <w:p>
      <w:pPr>
        <w:spacing w:line="360" w:lineRule="auto"/>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公司的生物质发电业务，从项目开发、建设，电厂运营，原材料供应等各个业务环节，都形成了成熟的运行系统，各系统在公司的管理体系内相互衔接，协同运行，使公司在生物发电领域保持了稳定而强大的发展优势。</w:t>
      </w:r>
    </w:p>
    <w:p>
      <w:pPr>
        <w:spacing w:line="360" w:lineRule="auto"/>
        <w:ind w:firstLine="470" w:firstLineChars="195"/>
        <w:rPr>
          <w:rFonts w:asciiTheme="majorEastAsia" w:hAnsiTheme="majorEastAsia" w:eastAsiaTheme="majorEastAsia"/>
          <w:b/>
          <w:sz w:val="24"/>
          <w:szCs w:val="24"/>
        </w:rPr>
      </w:pPr>
      <w:r>
        <w:rPr>
          <w:rFonts w:hint="eastAsia" w:asciiTheme="majorEastAsia" w:hAnsiTheme="majorEastAsia" w:eastAsiaTheme="majorEastAsia"/>
          <w:b/>
          <w:sz w:val="24"/>
          <w:szCs w:val="24"/>
        </w:rPr>
        <w:t>五、20</w:t>
      </w:r>
      <w:r>
        <w:rPr>
          <w:rFonts w:asciiTheme="majorEastAsia" w:hAnsiTheme="majorEastAsia" w:eastAsiaTheme="majorEastAsia"/>
          <w:b/>
          <w:sz w:val="24"/>
          <w:szCs w:val="24"/>
        </w:rPr>
        <w:t>2</w:t>
      </w:r>
      <w:r>
        <w:rPr>
          <w:rFonts w:hint="eastAsia" w:asciiTheme="majorEastAsia" w:hAnsiTheme="majorEastAsia" w:eastAsiaTheme="majorEastAsia"/>
          <w:b/>
          <w:sz w:val="24"/>
          <w:szCs w:val="24"/>
          <w:lang w:val="en-US" w:eastAsia="zh-CN"/>
        </w:rPr>
        <w:t>4</w:t>
      </w:r>
      <w:r>
        <w:rPr>
          <w:rFonts w:hint="eastAsia" w:asciiTheme="majorEastAsia" w:hAnsiTheme="majorEastAsia" w:eastAsiaTheme="majorEastAsia"/>
          <w:b/>
          <w:sz w:val="24"/>
          <w:szCs w:val="24"/>
        </w:rPr>
        <w:t>年校园招聘岗位及人员需求</w:t>
      </w:r>
    </w:p>
    <w:tbl>
      <w:tblPr>
        <w:tblStyle w:val="6"/>
        <w:tblW w:w="10207" w:type="dxa"/>
        <w:tblInd w:w="-885" w:type="dxa"/>
        <w:tblLayout w:type="fixed"/>
        <w:tblCellMar>
          <w:top w:w="0" w:type="dxa"/>
          <w:left w:w="108" w:type="dxa"/>
          <w:bottom w:w="0" w:type="dxa"/>
          <w:right w:w="108" w:type="dxa"/>
        </w:tblCellMar>
      </w:tblPr>
      <w:tblGrid>
        <w:gridCol w:w="567"/>
        <w:gridCol w:w="1702"/>
        <w:gridCol w:w="851"/>
        <w:gridCol w:w="1559"/>
        <w:gridCol w:w="709"/>
        <w:gridCol w:w="4819"/>
      </w:tblGrid>
      <w:tr>
        <w:tblPrEx>
          <w:tblCellMar>
            <w:top w:w="0" w:type="dxa"/>
            <w:left w:w="108" w:type="dxa"/>
            <w:bottom w:w="0" w:type="dxa"/>
            <w:right w:w="108" w:type="dxa"/>
          </w:tblCellMar>
        </w:tblPrEx>
        <w:trPr>
          <w:trHeight w:val="73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类别</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专业</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学历要求</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要求</w:t>
            </w:r>
            <w:r>
              <w:rPr>
                <w:rFonts w:ascii="Arial" w:hAnsi="Arial" w:cs="Arial"/>
                <w:bCs/>
                <w:color w:val="000000"/>
                <w:kern w:val="0"/>
                <w:szCs w:val="21"/>
              </w:rPr>
              <w:t xml:space="preserve"> </w:t>
            </w:r>
            <w:r>
              <w:rPr>
                <w:rFonts w:hint="eastAsia" w:ascii="宋体" w:hAnsi="宋体" w:cs="宋体"/>
                <w:bCs/>
                <w:color w:val="000000"/>
                <w:kern w:val="0"/>
                <w:szCs w:val="21"/>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招聘人数</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工作地点</w:t>
            </w:r>
          </w:p>
        </w:tc>
      </w:tr>
      <w:tr>
        <w:tblPrEx>
          <w:tblCellMar>
            <w:top w:w="0" w:type="dxa"/>
            <w:left w:w="108" w:type="dxa"/>
            <w:bottom w:w="0" w:type="dxa"/>
            <w:right w:w="108" w:type="dxa"/>
          </w:tblCellMar>
        </w:tblPrEx>
        <w:trPr>
          <w:trHeight w:val="390"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电厂生产类岗位</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集控运行、新能源</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大专及以上学历</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hint="eastAsia" w:ascii="宋体" w:hAnsi="宋体" w:cs="宋体"/>
                <w:bCs/>
                <w:color w:val="000000"/>
                <w:kern w:val="0"/>
                <w:szCs w:val="21"/>
              </w:rPr>
              <w:t>同等应聘条件下，英语过四级者优先考虑录用。</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Cs w:val="21"/>
              </w:rPr>
            </w:pPr>
            <w:r>
              <w:rPr>
                <w:rFonts w:ascii="宋体" w:hAnsi="宋体" w:cs="宋体"/>
                <w:bCs/>
                <w:color w:val="000000"/>
                <w:kern w:val="0"/>
                <w:szCs w:val="21"/>
              </w:rPr>
              <w:t>90</w:t>
            </w:r>
          </w:p>
        </w:tc>
        <w:tc>
          <w:tcPr>
            <w:tcW w:w="48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1、湖北：阳新、谷城、松滋、崇阳、江陵、赤壁</w:t>
            </w:r>
          </w:p>
          <w:p>
            <w:pPr>
              <w:widowControl/>
              <w:jc w:val="left"/>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、重庆：丰都</w:t>
            </w:r>
          </w:p>
          <w:p>
            <w:pPr>
              <w:widowControl/>
              <w:jc w:val="left"/>
              <w:rPr>
                <w:rFonts w:ascii="宋体" w:hAnsi="宋体" w:cs="宋体"/>
                <w:color w:val="000000"/>
                <w:kern w:val="0"/>
                <w:szCs w:val="21"/>
              </w:rPr>
            </w:pPr>
            <w:r>
              <w:rPr>
                <w:rFonts w:hint="eastAsia" w:ascii="宋体" w:hAnsi="宋体" w:cs="宋体"/>
                <w:color w:val="000000"/>
                <w:kern w:val="0"/>
                <w:szCs w:val="21"/>
              </w:rPr>
              <w:t>3、广西：北流</w:t>
            </w:r>
          </w:p>
          <w:p>
            <w:pPr>
              <w:widowControl/>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、江西：永新</w:t>
            </w:r>
          </w:p>
          <w:p>
            <w:pPr>
              <w:widowControl/>
              <w:jc w:val="left"/>
              <w:rPr>
                <w:rFonts w:ascii="宋体" w:hAnsi="宋体" w:cs="宋体"/>
                <w:color w:val="000000"/>
                <w:kern w:val="0"/>
                <w:szCs w:val="21"/>
              </w:rPr>
            </w:pPr>
            <w:r>
              <w:rPr>
                <w:rFonts w:hint="eastAsia" w:ascii="宋体" w:hAnsi="宋体" w:cs="宋体"/>
                <w:color w:val="000000"/>
                <w:kern w:val="0"/>
                <w:szCs w:val="21"/>
              </w:rPr>
              <w:t>5、吉林：蛟河、汪清、桦甸</w:t>
            </w:r>
          </w:p>
          <w:p>
            <w:pPr>
              <w:widowControl/>
              <w:jc w:val="left"/>
              <w:rPr>
                <w:rFonts w:ascii="宋体" w:hAnsi="宋体" w:cs="宋体"/>
                <w:color w:val="000000"/>
                <w:kern w:val="0"/>
                <w:szCs w:val="21"/>
              </w:rPr>
            </w:pPr>
            <w:r>
              <w:rPr>
                <w:rFonts w:hint="eastAsia" w:ascii="宋体" w:hAnsi="宋体" w:cs="宋体"/>
                <w:color w:val="000000"/>
                <w:kern w:val="0"/>
                <w:szCs w:val="21"/>
              </w:rPr>
              <w:t>6、安徽：南陵、金寨、宣城</w:t>
            </w:r>
          </w:p>
          <w:p>
            <w:pPr>
              <w:widowControl/>
              <w:jc w:val="left"/>
              <w:rPr>
                <w:rFonts w:ascii="宋体" w:hAnsi="宋体" w:cs="宋体"/>
                <w:color w:val="000000"/>
                <w:kern w:val="0"/>
                <w:szCs w:val="21"/>
              </w:rPr>
            </w:pPr>
            <w:r>
              <w:rPr>
                <w:rFonts w:hint="eastAsia" w:ascii="宋体" w:hAnsi="宋体" w:cs="宋体"/>
                <w:color w:val="000000"/>
                <w:kern w:val="0"/>
                <w:szCs w:val="21"/>
              </w:rPr>
              <w:t>7、湖南：祁阳、安仁</w:t>
            </w:r>
          </w:p>
          <w:p>
            <w:pPr>
              <w:widowControl/>
              <w:jc w:val="left"/>
              <w:rPr>
                <w:rFonts w:ascii="宋体" w:hAnsi="宋体" w:cs="宋体"/>
                <w:color w:val="000000"/>
                <w:kern w:val="0"/>
                <w:szCs w:val="21"/>
                <w:highlight w:val="yellow"/>
              </w:rPr>
            </w:pPr>
            <w:r>
              <w:rPr>
                <w:rFonts w:hint="eastAsia" w:ascii="宋体" w:hAnsi="宋体" w:cs="宋体"/>
                <w:color w:val="000000"/>
                <w:kern w:val="0"/>
                <w:szCs w:val="21"/>
                <w:highlight w:val="yellow"/>
              </w:rPr>
              <w:t>8、贵州：从江</w:t>
            </w:r>
          </w:p>
          <w:p>
            <w:pPr>
              <w:widowControl/>
              <w:jc w:val="left"/>
              <w:rPr>
                <w:rFonts w:ascii="宋体" w:hAnsi="宋体" w:cs="宋体"/>
                <w:color w:val="000000"/>
                <w:kern w:val="0"/>
                <w:szCs w:val="21"/>
              </w:rPr>
            </w:pPr>
            <w:r>
              <w:rPr>
                <w:rFonts w:hint="eastAsia" w:ascii="宋体" w:hAnsi="宋体" w:cs="宋体"/>
                <w:color w:val="000000"/>
                <w:kern w:val="0"/>
                <w:szCs w:val="21"/>
              </w:rPr>
              <w:t>9、陕西：勉县</w:t>
            </w:r>
          </w:p>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、四川：洪雅</w:t>
            </w:r>
          </w:p>
        </w:tc>
      </w:tr>
      <w:tr>
        <w:tblPrEx>
          <w:tblCellMar>
            <w:top w:w="0" w:type="dxa"/>
            <w:left w:w="108" w:type="dxa"/>
            <w:bottom w:w="0" w:type="dxa"/>
            <w:right w:w="108" w:type="dxa"/>
          </w:tblCellMar>
        </w:tblPrEx>
        <w:trPr>
          <w:trHeight w:val="390" w:hRule="atLeast"/>
        </w:trPr>
        <w:tc>
          <w:tcPr>
            <w:tcW w:w="567" w:type="dxa"/>
            <w:vMerge w:val="continue"/>
            <w:tcBorders>
              <w:top w:val="single" w:color="auto" w:sz="4" w:space="0"/>
              <w:left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热能与动力工程、热能动力装置</w:t>
            </w:r>
          </w:p>
        </w:tc>
        <w:tc>
          <w:tcPr>
            <w:tcW w:w="851"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559"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709"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819"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r>
      <w:tr>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电气工程及其自动化</w:t>
            </w:r>
          </w:p>
          <w:p>
            <w:pPr>
              <w:widowControl/>
              <w:jc w:val="center"/>
              <w:rPr>
                <w:rFonts w:ascii="宋体" w:hAnsi="宋体" w:cs="宋体"/>
                <w:bCs/>
                <w:color w:val="000000"/>
                <w:kern w:val="0"/>
                <w:sz w:val="22"/>
              </w:rPr>
            </w:pPr>
            <w:r>
              <w:rPr>
                <w:rFonts w:hint="eastAsia" w:ascii="宋体" w:hAnsi="宋体" w:cs="宋体"/>
                <w:bCs/>
                <w:color w:val="000000"/>
                <w:kern w:val="0"/>
                <w:sz w:val="22"/>
              </w:rPr>
              <w:t>电力系统及其自动化</w:t>
            </w: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r>
      <w:tr>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火电厂热工检测及仪表</w:t>
            </w: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r>
      <w:tr>
        <w:tblPrEx>
          <w:tblCellMar>
            <w:top w:w="0" w:type="dxa"/>
            <w:left w:w="108" w:type="dxa"/>
            <w:bottom w:w="0" w:type="dxa"/>
            <w:right w:w="108" w:type="dxa"/>
          </w:tblCellMar>
        </w:tblPrEx>
        <w:trPr>
          <w:trHeight w:val="390" w:hRule="atLeast"/>
        </w:trPr>
        <w:tc>
          <w:tcPr>
            <w:tcW w:w="567" w:type="dxa"/>
            <w:vMerge w:val="continue"/>
            <w:tcBorders>
              <w:left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发电厂及电力系统</w:t>
            </w: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55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70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819"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r>
      <w:tr>
        <w:tblPrEx>
          <w:tblCellMar>
            <w:top w:w="0" w:type="dxa"/>
            <w:left w:w="108" w:type="dxa"/>
            <w:bottom w:w="0" w:type="dxa"/>
            <w:right w:w="108" w:type="dxa"/>
          </w:tblCellMar>
        </w:tblPrEx>
        <w:trPr>
          <w:trHeight w:val="390" w:hRule="atLeast"/>
        </w:trPr>
        <w:tc>
          <w:tcPr>
            <w:tcW w:w="56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电厂化学、环境工程</w:t>
            </w: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81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r>
    </w:tbl>
    <w:p>
      <w:pPr>
        <w:spacing w:line="360" w:lineRule="auto"/>
        <w:ind w:firstLine="446" w:firstLineChars="148"/>
        <w:rPr>
          <w:rFonts w:asciiTheme="majorEastAsia" w:hAnsiTheme="majorEastAsia" w:eastAsiaTheme="majorEastAsia"/>
          <w:b/>
          <w:sz w:val="30"/>
          <w:szCs w:val="30"/>
        </w:rPr>
      </w:pPr>
      <w:r>
        <w:rPr>
          <w:rFonts w:hint="eastAsia" w:asciiTheme="majorEastAsia" w:hAnsiTheme="majorEastAsia" w:eastAsiaTheme="majorEastAsia"/>
          <w:b/>
          <w:sz w:val="30"/>
          <w:szCs w:val="30"/>
        </w:rPr>
        <w:t>六、员工福利</w:t>
      </w:r>
    </w:p>
    <w:p>
      <w:pPr>
        <w:spacing w:line="360" w:lineRule="auto"/>
        <w:ind w:firstLine="480" w:firstLineChars="200"/>
        <w:rPr>
          <w:rFonts w:ascii="宋体" w:hAnsi="宋体"/>
          <w:bCs/>
          <w:sz w:val="24"/>
          <w:szCs w:val="24"/>
        </w:rPr>
      </w:pPr>
      <w:r>
        <w:rPr>
          <w:rFonts w:hint="eastAsia" w:ascii="宋体" w:hAnsi="宋体"/>
          <w:bCs/>
          <w:sz w:val="24"/>
          <w:szCs w:val="24"/>
        </w:rPr>
        <w:t>1、薪酬：依据公司岗位薪酬制度规定给予具有市场竞争的薪酬。</w:t>
      </w:r>
    </w:p>
    <w:p>
      <w:pPr>
        <w:spacing w:line="360" w:lineRule="auto"/>
        <w:ind w:firstLine="480" w:firstLineChars="200"/>
        <w:rPr>
          <w:rFonts w:ascii="宋体" w:hAnsi="宋体"/>
          <w:bCs/>
          <w:sz w:val="24"/>
          <w:szCs w:val="24"/>
        </w:rPr>
      </w:pPr>
      <w:r>
        <w:rPr>
          <w:rFonts w:hint="eastAsia" w:ascii="宋体" w:hAnsi="宋体"/>
          <w:bCs/>
          <w:sz w:val="24"/>
          <w:szCs w:val="24"/>
        </w:rPr>
        <w:t>2、奖金：依据公司岗位薪酬制度规定给予相应岗位具有激励的工作奖金（定岗后享有工作绩效奖金、专项奖金、利润分享奖金等）。</w:t>
      </w:r>
    </w:p>
    <w:p>
      <w:pPr>
        <w:spacing w:line="360" w:lineRule="auto"/>
        <w:ind w:firstLine="480" w:firstLineChars="200"/>
        <w:rPr>
          <w:rFonts w:ascii="宋体" w:hAnsi="宋体"/>
          <w:bCs/>
          <w:sz w:val="24"/>
          <w:szCs w:val="24"/>
        </w:rPr>
      </w:pPr>
      <w:r>
        <w:rPr>
          <w:rFonts w:hint="eastAsia" w:ascii="宋体" w:hAnsi="宋体"/>
          <w:bCs/>
          <w:sz w:val="24"/>
          <w:szCs w:val="24"/>
        </w:rPr>
        <w:t>3、其他福利待遇：社会统筹保险、住房补贴、司龄工资、个人办公通讯补贴、班车、工作餐补贴、免费体检、团队旅游、贺仪、过节慰问金、工会福利……以及更多我们持续完善、提升的福利。</w:t>
      </w:r>
    </w:p>
    <w:p>
      <w:pPr>
        <w:spacing w:line="360" w:lineRule="auto"/>
        <w:ind w:firstLine="480" w:firstLineChars="200"/>
        <w:rPr>
          <w:rFonts w:ascii="宋体" w:hAnsi="宋体"/>
          <w:bCs/>
          <w:sz w:val="24"/>
          <w:szCs w:val="24"/>
        </w:rPr>
      </w:pPr>
      <w:r>
        <w:rPr>
          <w:rFonts w:hint="eastAsia" w:ascii="宋体" w:hAnsi="宋体"/>
          <w:bCs/>
          <w:sz w:val="24"/>
          <w:szCs w:val="24"/>
        </w:rPr>
        <w:t>4、生产类新员工的见习期为5个月，5个月后进行定岗考核。</w:t>
      </w:r>
    </w:p>
    <w:p>
      <w:pPr>
        <w:spacing w:line="360" w:lineRule="auto"/>
        <w:ind w:firstLine="551" w:firstLineChars="196"/>
        <w:rPr>
          <w:rFonts w:ascii="宋体" w:hAnsi="宋体"/>
          <w:b/>
          <w:color w:val="000000"/>
          <w:sz w:val="28"/>
          <w:szCs w:val="28"/>
        </w:rPr>
      </w:pPr>
      <w:r>
        <w:rPr>
          <w:rFonts w:hint="eastAsia" w:ascii="宋体" w:hAnsi="宋体"/>
          <w:b/>
          <w:color w:val="000000"/>
          <w:sz w:val="28"/>
          <w:szCs w:val="28"/>
        </w:rPr>
        <w:t>七、</w:t>
      </w:r>
      <w:r>
        <w:rPr>
          <w:rFonts w:ascii="宋体" w:hAnsi="宋体"/>
          <w:b/>
          <w:color w:val="000000"/>
          <w:sz w:val="28"/>
          <w:szCs w:val="28"/>
        </w:rPr>
        <w:t>招聘流程</w:t>
      </w:r>
    </w:p>
    <w:p>
      <w:pPr>
        <w:spacing w:line="360" w:lineRule="auto"/>
        <w:ind w:firstLine="480" w:firstLineChars="200"/>
        <w:rPr>
          <w:rFonts w:ascii="宋体" w:hAnsi="宋体"/>
          <w:sz w:val="24"/>
          <w:szCs w:val="24"/>
        </w:rPr>
      </w:pPr>
      <w:r>
        <w:rPr>
          <w:rFonts w:ascii="宋体" w:hAnsi="宋体"/>
          <w:sz w:val="24"/>
          <w:szCs w:val="24"/>
        </w:rPr>
        <w:t>1、发布招聘信息</w:t>
      </w:r>
    </w:p>
    <w:p>
      <w:pPr>
        <w:spacing w:line="360" w:lineRule="auto"/>
        <w:ind w:firstLine="480" w:firstLineChars="200"/>
        <w:rPr>
          <w:rFonts w:ascii="宋体" w:hAnsi="宋体"/>
          <w:sz w:val="24"/>
          <w:szCs w:val="24"/>
        </w:rPr>
      </w:pPr>
      <w:r>
        <w:rPr>
          <w:rFonts w:hint="eastAsia" w:ascii="宋体" w:hAnsi="宋体"/>
          <w:sz w:val="24"/>
          <w:szCs w:val="24"/>
        </w:rPr>
        <w:t>学生可通过网络将应聘简历投递至公司指定的电子邮箱或在相关学校招聘会现场投递应聘简历。</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校园招聘宣讲，在宣讲结束后，现场收集应聘简历。</w:t>
      </w:r>
    </w:p>
    <w:p>
      <w:pPr>
        <w:spacing w:line="360" w:lineRule="auto"/>
        <w:ind w:firstLine="480" w:firstLineChars="200"/>
        <w:rPr>
          <w:rFonts w:ascii="宋体" w:hAnsi="宋体"/>
          <w:sz w:val="24"/>
          <w:szCs w:val="24"/>
        </w:rPr>
      </w:pPr>
      <w:r>
        <w:rPr>
          <w:rFonts w:hint="eastAsia" w:ascii="宋体" w:hAnsi="宋体"/>
          <w:sz w:val="24"/>
          <w:szCs w:val="24"/>
        </w:rPr>
        <w:t>3、应聘简历的筛选</w:t>
      </w:r>
    </w:p>
    <w:p>
      <w:pPr>
        <w:spacing w:line="360" w:lineRule="auto"/>
        <w:ind w:firstLine="480" w:firstLineChars="200"/>
        <w:rPr>
          <w:rFonts w:ascii="宋体" w:hAnsi="宋体"/>
          <w:sz w:val="24"/>
          <w:szCs w:val="24"/>
        </w:rPr>
      </w:pPr>
      <w:r>
        <w:rPr>
          <w:rFonts w:hint="eastAsia" w:ascii="宋体" w:hAnsi="宋体"/>
          <w:sz w:val="24"/>
          <w:szCs w:val="24"/>
        </w:rPr>
        <w:t>4、应聘资料审核</w:t>
      </w:r>
    </w:p>
    <w:p>
      <w:pPr>
        <w:spacing w:line="360" w:lineRule="auto"/>
        <w:ind w:firstLine="480" w:firstLineChars="200"/>
        <w:rPr>
          <w:rFonts w:ascii="宋体" w:hAnsi="宋体"/>
          <w:sz w:val="24"/>
          <w:szCs w:val="24"/>
        </w:rPr>
      </w:pPr>
      <w:r>
        <w:rPr>
          <w:rFonts w:hint="eastAsia" w:ascii="宋体" w:hAnsi="宋体"/>
          <w:sz w:val="24"/>
          <w:szCs w:val="24"/>
        </w:rPr>
        <w:t>请接到面试通知的同学携带就业推荐表、成绩单（院校盖章）、奖学金证书、英语证书、身份证、学生证及其他相关资格证书的原件及复印件用于审核。</w:t>
      </w:r>
    </w:p>
    <w:p>
      <w:pPr>
        <w:spacing w:line="360" w:lineRule="auto"/>
        <w:ind w:firstLine="480" w:firstLineChars="200"/>
        <w:rPr>
          <w:rFonts w:ascii="宋体" w:hAnsi="宋体"/>
          <w:sz w:val="24"/>
          <w:szCs w:val="24"/>
        </w:rPr>
      </w:pPr>
      <w:r>
        <w:rPr>
          <w:rFonts w:hint="eastAsia" w:ascii="宋体" w:hAnsi="宋体"/>
          <w:sz w:val="24"/>
          <w:szCs w:val="24"/>
        </w:rPr>
        <w:t>5、笔试（</w:t>
      </w:r>
      <w:r>
        <w:rPr>
          <w:rFonts w:hint="eastAsia" w:ascii="宋体" w:hAnsi="宋体"/>
          <w:sz w:val="24"/>
          <w:szCs w:val="24"/>
          <w:lang w:eastAsia="zh-CN"/>
        </w:rPr>
        <w:t>部分</w:t>
      </w:r>
      <w:r>
        <w:rPr>
          <w:rFonts w:hint="eastAsia" w:ascii="宋体" w:hAnsi="宋体"/>
          <w:sz w:val="24"/>
          <w:szCs w:val="24"/>
        </w:rPr>
        <w:t>相关岗位</w:t>
      </w:r>
      <w:r>
        <w:rPr>
          <w:rFonts w:hint="eastAsia" w:ascii="宋体" w:hAnsi="宋体"/>
          <w:sz w:val="24"/>
          <w:szCs w:val="24"/>
          <w:lang w:eastAsia="zh-CN"/>
        </w:rPr>
        <w:t>，根据实际情况确定</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、面试</w:t>
      </w:r>
    </w:p>
    <w:p>
      <w:pPr>
        <w:spacing w:line="360" w:lineRule="auto"/>
        <w:ind w:firstLine="480" w:firstLineChars="200"/>
        <w:rPr>
          <w:rFonts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拟录用候选人资料审核及录用审批签订</w:t>
      </w:r>
    </w:p>
    <w:p>
      <w:pPr>
        <w:spacing w:line="360" w:lineRule="auto"/>
        <w:ind w:firstLine="480" w:firstLineChars="200"/>
        <w:rPr>
          <w:rFonts w:ascii="宋体" w:hAnsi="宋体"/>
          <w:sz w:val="24"/>
          <w:szCs w:val="24"/>
        </w:rPr>
      </w:pPr>
      <w:r>
        <w:rPr>
          <w:rFonts w:hint="eastAsia" w:ascii="宋体" w:hAnsi="宋体"/>
          <w:sz w:val="24"/>
          <w:szCs w:val="24"/>
        </w:rPr>
        <w:t>8、签订《签约承诺书》、《</w:t>
      </w:r>
      <w:r>
        <w:rPr>
          <w:rFonts w:ascii="宋体" w:hAnsi="宋体"/>
          <w:sz w:val="24"/>
          <w:szCs w:val="24"/>
        </w:rPr>
        <w:t>就业协议书</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9、新员工报到通知</w:t>
      </w:r>
    </w:p>
    <w:p>
      <w:pPr>
        <w:spacing w:line="360" w:lineRule="auto"/>
        <w:ind w:firstLine="360" w:firstLineChars="150"/>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10</w:t>
      </w:r>
      <w:r>
        <w:rPr>
          <w:rFonts w:ascii="宋体" w:hAnsi="宋体"/>
          <w:sz w:val="24"/>
          <w:szCs w:val="24"/>
        </w:rPr>
        <w:t>、</w:t>
      </w:r>
      <w:r>
        <w:rPr>
          <w:rFonts w:hint="eastAsia" w:ascii="宋体" w:hAnsi="宋体"/>
          <w:sz w:val="24"/>
          <w:szCs w:val="24"/>
        </w:rPr>
        <w:t>新员工</w:t>
      </w:r>
      <w:r>
        <w:rPr>
          <w:rFonts w:ascii="宋体" w:hAnsi="宋体"/>
          <w:sz w:val="24"/>
          <w:szCs w:val="24"/>
        </w:rPr>
        <w:t>报到</w:t>
      </w:r>
      <w:r>
        <w:rPr>
          <w:rFonts w:hint="eastAsia" w:ascii="宋体" w:hAnsi="宋体"/>
          <w:sz w:val="24"/>
          <w:szCs w:val="24"/>
        </w:rPr>
        <w:t>、入职体检、入职手续办理及培训</w:t>
      </w:r>
    </w:p>
    <w:p>
      <w:pPr>
        <w:spacing w:line="360" w:lineRule="auto"/>
        <w:ind w:firstLine="643" w:firstLineChars="200"/>
        <w:rPr>
          <w:rFonts w:hint="default" w:ascii="宋体" w:hAnsi="宋体"/>
          <w:sz w:val="24"/>
          <w:szCs w:val="24"/>
          <w:lang w:val="en-US" w:eastAsia="zh-CN"/>
        </w:rPr>
      </w:pPr>
      <w:r>
        <w:rPr>
          <w:rFonts w:hint="eastAsia" w:ascii="宋体" w:hAnsi="宋体"/>
          <w:b/>
          <w:bCs/>
          <w:sz w:val="32"/>
          <w:szCs w:val="32"/>
          <w:lang w:val="en-US" w:eastAsia="zh-CN"/>
        </w:rPr>
        <w:t>招聘联系方式：石主管18892329348</w:t>
      </w:r>
    </w:p>
    <w:p>
      <w:pPr>
        <w:spacing w:line="360" w:lineRule="auto"/>
        <w:ind w:firstLine="551" w:firstLineChars="196"/>
        <w:rPr>
          <w:rFonts w:ascii="宋体" w:hAnsi="宋体"/>
          <w:b/>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TYwNTYxYTNiMWZkMDUzMTQyZTRiZGU2MjQ4ODUifQ=="/>
  </w:docVars>
  <w:rsids>
    <w:rsidRoot w:val="00BD3914"/>
    <w:rsid w:val="00000C2E"/>
    <w:rsid w:val="00001CB7"/>
    <w:rsid w:val="000060D7"/>
    <w:rsid w:val="00010091"/>
    <w:rsid w:val="00034053"/>
    <w:rsid w:val="0005413C"/>
    <w:rsid w:val="00057926"/>
    <w:rsid w:val="00074C32"/>
    <w:rsid w:val="0007542B"/>
    <w:rsid w:val="00080A8B"/>
    <w:rsid w:val="000879C3"/>
    <w:rsid w:val="000B4D88"/>
    <w:rsid w:val="000E5009"/>
    <w:rsid w:val="000F3DE5"/>
    <w:rsid w:val="000F73D9"/>
    <w:rsid w:val="0012366F"/>
    <w:rsid w:val="00140893"/>
    <w:rsid w:val="00144DF6"/>
    <w:rsid w:val="00145660"/>
    <w:rsid w:val="00147CE2"/>
    <w:rsid w:val="00164B24"/>
    <w:rsid w:val="0018722E"/>
    <w:rsid w:val="00193B61"/>
    <w:rsid w:val="001A2939"/>
    <w:rsid w:val="001D3E82"/>
    <w:rsid w:val="001E3E96"/>
    <w:rsid w:val="00202D9B"/>
    <w:rsid w:val="00205F55"/>
    <w:rsid w:val="00205FEB"/>
    <w:rsid w:val="00227B0D"/>
    <w:rsid w:val="002305F4"/>
    <w:rsid w:val="00230F7C"/>
    <w:rsid w:val="00246ED0"/>
    <w:rsid w:val="002543EC"/>
    <w:rsid w:val="002707CE"/>
    <w:rsid w:val="002708B3"/>
    <w:rsid w:val="00280DFF"/>
    <w:rsid w:val="00287938"/>
    <w:rsid w:val="002938E2"/>
    <w:rsid w:val="002A3335"/>
    <w:rsid w:val="002A58B1"/>
    <w:rsid w:val="002C3F72"/>
    <w:rsid w:val="002D4312"/>
    <w:rsid w:val="002D478D"/>
    <w:rsid w:val="002D686A"/>
    <w:rsid w:val="002E211C"/>
    <w:rsid w:val="002F1468"/>
    <w:rsid w:val="002F4CAA"/>
    <w:rsid w:val="003069E4"/>
    <w:rsid w:val="003104B3"/>
    <w:rsid w:val="00312716"/>
    <w:rsid w:val="00316517"/>
    <w:rsid w:val="0031797C"/>
    <w:rsid w:val="003262D3"/>
    <w:rsid w:val="0036392B"/>
    <w:rsid w:val="003808EE"/>
    <w:rsid w:val="003B6B7D"/>
    <w:rsid w:val="003C5903"/>
    <w:rsid w:val="003D4D73"/>
    <w:rsid w:val="003D5CB5"/>
    <w:rsid w:val="003D64B7"/>
    <w:rsid w:val="003F19AF"/>
    <w:rsid w:val="003F4E34"/>
    <w:rsid w:val="003F6AD3"/>
    <w:rsid w:val="00420B5D"/>
    <w:rsid w:val="00440A8F"/>
    <w:rsid w:val="00453181"/>
    <w:rsid w:val="00481B44"/>
    <w:rsid w:val="0049016C"/>
    <w:rsid w:val="00496BDC"/>
    <w:rsid w:val="004C70A5"/>
    <w:rsid w:val="004D03AE"/>
    <w:rsid w:val="004D74D2"/>
    <w:rsid w:val="004E504F"/>
    <w:rsid w:val="00524699"/>
    <w:rsid w:val="00535410"/>
    <w:rsid w:val="005414BE"/>
    <w:rsid w:val="005435D0"/>
    <w:rsid w:val="00564EB9"/>
    <w:rsid w:val="00566359"/>
    <w:rsid w:val="0057074A"/>
    <w:rsid w:val="00571BA7"/>
    <w:rsid w:val="00577416"/>
    <w:rsid w:val="005A5C10"/>
    <w:rsid w:val="005A5E76"/>
    <w:rsid w:val="005C0CC0"/>
    <w:rsid w:val="005C0D2E"/>
    <w:rsid w:val="005C3BA4"/>
    <w:rsid w:val="005E0812"/>
    <w:rsid w:val="005F19B0"/>
    <w:rsid w:val="005F7D35"/>
    <w:rsid w:val="00606C87"/>
    <w:rsid w:val="00636748"/>
    <w:rsid w:val="00644D9F"/>
    <w:rsid w:val="00660A85"/>
    <w:rsid w:val="006A04E9"/>
    <w:rsid w:val="006A5501"/>
    <w:rsid w:val="006B30F9"/>
    <w:rsid w:val="006C04C1"/>
    <w:rsid w:val="006D3095"/>
    <w:rsid w:val="006D4868"/>
    <w:rsid w:val="006D77DA"/>
    <w:rsid w:val="00703D4E"/>
    <w:rsid w:val="00705303"/>
    <w:rsid w:val="00727203"/>
    <w:rsid w:val="007472EE"/>
    <w:rsid w:val="00753BD9"/>
    <w:rsid w:val="00771E30"/>
    <w:rsid w:val="007727AD"/>
    <w:rsid w:val="00773E4F"/>
    <w:rsid w:val="0077733C"/>
    <w:rsid w:val="007822F5"/>
    <w:rsid w:val="00782E34"/>
    <w:rsid w:val="00783786"/>
    <w:rsid w:val="007A078A"/>
    <w:rsid w:val="007B53B9"/>
    <w:rsid w:val="007C2913"/>
    <w:rsid w:val="007C2F98"/>
    <w:rsid w:val="007D423A"/>
    <w:rsid w:val="007D4AB5"/>
    <w:rsid w:val="007D5D2D"/>
    <w:rsid w:val="007E177E"/>
    <w:rsid w:val="00830CFF"/>
    <w:rsid w:val="008425CD"/>
    <w:rsid w:val="00854AB3"/>
    <w:rsid w:val="008565D1"/>
    <w:rsid w:val="00856E24"/>
    <w:rsid w:val="00862BD3"/>
    <w:rsid w:val="00871218"/>
    <w:rsid w:val="008766B6"/>
    <w:rsid w:val="0088185B"/>
    <w:rsid w:val="00881C17"/>
    <w:rsid w:val="008A3550"/>
    <w:rsid w:val="008B1432"/>
    <w:rsid w:val="008B724D"/>
    <w:rsid w:val="008D324A"/>
    <w:rsid w:val="008D37D8"/>
    <w:rsid w:val="008E3DBB"/>
    <w:rsid w:val="008F7A9C"/>
    <w:rsid w:val="009029A8"/>
    <w:rsid w:val="009046F4"/>
    <w:rsid w:val="0090625C"/>
    <w:rsid w:val="00911CD8"/>
    <w:rsid w:val="009458BB"/>
    <w:rsid w:val="00947B71"/>
    <w:rsid w:val="0095524E"/>
    <w:rsid w:val="00960C7E"/>
    <w:rsid w:val="009700D3"/>
    <w:rsid w:val="009767CD"/>
    <w:rsid w:val="00977E08"/>
    <w:rsid w:val="009835EC"/>
    <w:rsid w:val="009860B0"/>
    <w:rsid w:val="009A1D96"/>
    <w:rsid w:val="009A1E16"/>
    <w:rsid w:val="009A3A05"/>
    <w:rsid w:val="009C0645"/>
    <w:rsid w:val="009C3779"/>
    <w:rsid w:val="009C5881"/>
    <w:rsid w:val="009D07CF"/>
    <w:rsid w:val="009D4DD8"/>
    <w:rsid w:val="009D5472"/>
    <w:rsid w:val="009E1320"/>
    <w:rsid w:val="00A07BCE"/>
    <w:rsid w:val="00A16895"/>
    <w:rsid w:val="00A17D20"/>
    <w:rsid w:val="00A471E5"/>
    <w:rsid w:val="00A54933"/>
    <w:rsid w:val="00A748BE"/>
    <w:rsid w:val="00A76DD8"/>
    <w:rsid w:val="00A77407"/>
    <w:rsid w:val="00AA05CF"/>
    <w:rsid w:val="00AA26C4"/>
    <w:rsid w:val="00AB7C9F"/>
    <w:rsid w:val="00AD790E"/>
    <w:rsid w:val="00AE0269"/>
    <w:rsid w:val="00AE7EB2"/>
    <w:rsid w:val="00AF184A"/>
    <w:rsid w:val="00B0747E"/>
    <w:rsid w:val="00B303EF"/>
    <w:rsid w:val="00B50D8D"/>
    <w:rsid w:val="00B541BD"/>
    <w:rsid w:val="00B57A5A"/>
    <w:rsid w:val="00B678F9"/>
    <w:rsid w:val="00BB3713"/>
    <w:rsid w:val="00BB7303"/>
    <w:rsid w:val="00BC4A34"/>
    <w:rsid w:val="00BD06D9"/>
    <w:rsid w:val="00BD278F"/>
    <w:rsid w:val="00BD3914"/>
    <w:rsid w:val="00BD6F49"/>
    <w:rsid w:val="00BE15CA"/>
    <w:rsid w:val="00BE21DB"/>
    <w:rsid w:val="00BF5300"/>
    <w:rsid w:val="00C0487C"/>
    <w:rsid w:val="00C20577"/>
    <w:rsid w:val="00C30729"/>
    <w:rsid w:val="00C44588"/>
    <w:rsid w:val="00C70232"/>
    <w:rsid w:val="00CA420A"/>
    <w:rsid w:val="00CB64F3"/>
    <w:rsid w:val="00CC04FE"/>
    <w:rsid w:val="00CC0883"/>
    <w:rsid w:val="00CC6F84"/>
    <w:rsid w:val="00CD4B52"/>
    <w:rsid w:val="00CE0C7A"/>
    <w:rsid w:val="00D01146"/>
    <w:rsid w:val="00D02784"/>
    <w:rsid w:val="00D04F25"/>
    <w:rsid w:val="00D16DEA"/>
    <w:rsid w:val="00D532E1"/>
    <w:rsid w:val="00D63DB1"/>
    <w:rsid w:val="00D826CC"/>
    <w:rsid w:val="00D83AF5"/>
    <w:rsid w:val="00D92F9E"/>
    <w:rsid w:val="00DA59E1"/>
    <w:rsid w:val="00DB0FF8"/>
    <w:rsid w:val="00DD3792"/>
    <w:rsid w:val="00DD3D4D"/>
    <w:rsid w:val="00DE2E57"/>
    <w:rsid w:val="00DE3881"/>
    <w:rsid w:val="00E42900"/>
    <w:rsid w:val="00E55524"/>
    <w:rsid w:val="00E5704D"/>
    <w:rsid w:val="00E57C65"/>
    <w:rsid w:val="00E606EB"/>
    <w:rsid w:val="00E65B91"/>
    <w:rsid w:val="00E84CFA"/>
    <w:rsid w:val="00E96CE5"/>
    <w:rsid w:val="00E96DD4"/>
    <w:rsid w:val="00EA0324"/>
    <w:rsid w:val="00EB7F68"/>
    <w:rsid w:val="00EC56C6"/>
    <w:rsid w:val="00EC5A71"/>
    <w:rsid w:val="00EC7B30"/>
    <w:rsid w:val="00F21F77"/>
    <w:rsid w:val="00F313B1"/>
    <w:rsid w:val="00F4467E"/>
    <w:rsid w:val="00F5208E"/>
    <w:rsid w:val="00F527CE"/>
    <w:rsid w:val="00F554E0"/>
    <w:rsid w:val="00F849C9"/>
    <w:rsid w:val="00F84AD2"/>
    <w:rsid w:val="00F857D2"/>
    <w:rsid w:val="00F87957"/>
    <w:rsid w:val="00F909CF"/>
    <w:rsid w:val="00F92F4E"/>
    <w:rsid w:val="00F9646A"/>
    <w:rsid w:val="00FA46DD"/>
    <w:rsid w:val="00FB2D76"/>
    <w:rsid w:val="00FB4BAA"/>
    <w:rsid w:val="00FD0CAA"/>
    <w:rsid w:val="00FD1DD7"/>
    <w:rsid w:val="00FD291D"/>
    <w:rsid w:val="00FD64D9"/>
    <w:rsid w:val="00FD7E1E"/>
    <w:rsid w:val="06D9137E"/>
    <w:rsid w:val="095769B6"/>
    <w:rsid w:val="0FF21F63"/>
    <w:rsid w:val="115763ED"/>
    <w:rsid w:val="169E6AE5"/>
    <w:rsid w:val="1DF3750F"/>
    <w:rsid w:val="21205B4A"/>
    <w:rsid w:val="26166901"/>
    <w:rsid w:val="2E6D508B"/>
    <w:rsid w:val="35B21B89"/>
    <w:rsid w:val="3AE55824"/>
    <w:rsid w:val="488E4B29"/>
    <w:rsid w:val="540A6CA8"/>
    <w:rsid w:val="69E43B4E"/>
    <w:rsid w:val="6A883473"/>
    <w:rsid w:val="6C0C19D0"/>
    <w:rsid w:val="6CC34F87"/>
    <w:rsid w:val="71E10786"/>
    <w:rsid w:val="7E7672FC"/>
    <w:rsid w:val="FF7A7E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cs="Times New Roman"/>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1511</Words>
  <Characters>1579</Characters>
  <Lines>12</Lines>
  <Paragraphs>3</Paragraphs>
  <TotalTime>1</TotalTime>
  <ScaleCrop>false</ScaleCrop>
  <LinksUpToDate>false</LinksUpToDate>
  <CharactersWithSpaces>1608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2015-09-23T09:33:00Z</dcterms:created>
  <dc:creator>dell</dc:creator>
  <cp:lastModifiedBy>周慧娟</cp:lastModifiedBy>
  <cp:lastPrinted>2015-09-23T10:57:00Z</cp:lastPrinted>
  <dcterms:modified xsi:type="dcterms:W3CDTF">2024-11-25T03:05:45Z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12267697730F48E99EB6397EE2B0C967</vt:lpwstr>
  </property>
</Properties>
</file>